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21" w:rsidRPr="0030203E" w:rsidRDefault="00BD2521" w:rsidP="00BD2521">
      <w:pPr>
        <w:autoSpaceDE w:val="0"/>
        <w:autoSpaceDN w:val="0"/>
        <w:adjustRightInd w:val="0"/>
        <w:jc w:val="both"/>
        <w:rPr>
          <w:rFonts w:ascii="Myriad Pro" w:hAnsi="Myriad Pro" w:cs="Arial"/>
        </w:rPr>
      </w:pPr>
      <w:r>
        <w:rPr>
          <w:rFonts w:ascii="Myriad Pro" w:hAnsi="Myriad Pro"/>
          <w:noProof/>
          <w:lang w:eastAsia="es-PA"/>
        </w:rPr>
        <w:drawing>
          <wp:inline distT="0" distB="0" distL="0" distR="0" wp14:anchorId="596E6B88" wp14:editId="7C201FDD">
            <wp:extent cx="1390650" cy="619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0" cy="619125"/>
                    </a:xfrm>
                    <a:prstGeom prst="rect">
                      <a:avLst/>
                    </a:prstGeom>
                    <a:noFill/>
                    <a:ln w="9525">
                      <a:noFill/>
                      <a:miter lim="800000"/>
                      <a:headEnd/>
                      <a:tailEnd/>
                    </a:ln>
                  </pic:spPr>
                </pic:pic>
              </a:graphicData>
            </a:graphic>
          </wp:inline>
        </w:drawing>
      </w:r>
    </w:p>
    <w:p w:rsidR="00BD2521" w:rsidRPr="00C972D0" w:rsidRDefault="00BD2521"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sidRPr="00C972D0">
        <w:rPr>
          <w:rFonts w:ascii="inherit" w:eastAsia="Times New Roman" w:hAnsi="inherit" w:cs="Times New Roman"/>
          <w:sz w:val="21"/>
          <w:szCs w:val="21"/>
          <w:bdr w:val="none" w:sz="0" w:space="0" w:color="auto" w:frame="1"/>
          <w:lang w:val="en-US" w:eastAsia="es-PA"/>
        </w:rPr>
        <w:t>We are pleased to announce the following vacancy:</w:t>
      </w:r>
    </w:p>
    <w:p w:rsidR="00BD2521" w:rsidRPr="00C972D0" w:rsidRDefault="00BD2521" w:rsidP="00C972D0">
      <w:pPr>
        <w:shd w:val="clear" w:color="auto" w:fill="FFFFFF"/>
        <w:spacing w:after="0" w:line="240" w:lineRule="auto"/>
        <w:textAlignment w:val="baseline"/>
        <w:rPr>
          <w:rFonts w:ascii="inherit" w:eastAsia="Times New Roman" w:hAnsi="inherit" w:cs="Times New Roman"/>
          <w:sz w:val="21"/>
          <w:szCs w:val="21"/>
          <w:u w:val="single"/>
          <w:bdr w:val="none" w:sz="0" w:space="0" w:color="auto" w:frame="1"/>
          <w:lang w:val="en-US" w:eastAsia="es-PA"/>
        </w:rPr>
      </w:pPr>
      <w:r w:rsidRPr="00C972D0">
        <w:rPr>
          <w:rFonts w:ascii="inherit" w:eastAsia="Times New Roman" w:hAnsi="inherit" w:cs="Times New Roman"/>
          <w:sz w:val="21"/>
          <w:szCs w:val="21"/>
          <w:u w:val="single"/>
          <w:bdr w:val="none" w:sz="0" w:space="0" w:color="auto" w:frame="1"/>
          <w:lang w:val="en-US" w:eastAsia="es-PA"/>
        </w:rPr>
        <w:t>___________________________________________________</w:t>
      </w:r>
    </w:p>
    <w:p w:rsidR="00C972D0" w:rsidRDefault="00C972D0"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BD2521" w:rsidRPr="00C972D0" w:rsidRDefault="002D5569"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sidRPr="00C972D0">
        <w:rPr>
          <w:rFonts w:ascii="inherit" w:eastAsia="Times New Roman" w:hAnsi="inherit" w:cs="Times New Roman"/>
          <w:sz w:val="21"/>
          <w:szCs w:val="21"/>
          <w:bdr w:val="none" w:sz="0" w:space="0" w:color="auto" w:frame="1"/>
          <w:lang w:val="en-US" w:eastAsia="es-PA"/>
        </w:rPr>
        <w:t>VACANCY NO:</w:t>
      </w:r>
      <w:r w:rsidRPr="00C972D0">
        <w:rPr>
          <w:rFonts w:ascii="inherit" w:eastAsia="Times New Roman" w:hAnsi="inherit" w:cs="Times New Roman"/>
          <w:sz w:val="21"/>
          <w:szCs w:val="21"/>
          <w:bdr w:val="none" w:sz="0" w:space="0" w:color="auto" w:frame="1"/>
          <w:lang w:val="en-US" w:eastAsia="es-PA"/>
        </w:rPr>
        <w:tab/>
        <w:t>VA</w:t>
      </w:r>
      <w:r w:rsidR="00EB6148">
        <w:rPr>
          <w:rFonts w:ascii="inherit" w:eastAsia="Times New Roman" w:hAnsi="inherit" w:cs="Times New Roman"/>
          <w:sz w:val="21"/>
          <w:szCs w:val="21"/>
          <w:bdr w:val="none" w:sz="0" w:space="0" w:color="auto" w:frame="1"/>
          <w:lang w:val="en-US" w:eastAsia="es-PA"/>
        </w:rPr>
        <w:t xml:space="preserve"> </w:t>
      </w:r>
      <w:r w:rsidRPr="00C972D0">
        <w:rPr>
          <w:rFonts w:ascii="inherit" w:eastAsia="Times New Roman" w:hAnsi="inherit" w:cs="Times New Roman"/>
          <w:sz w:val="21"/>
          <w:szCs w:val="21"/>
          <w:bdr w:val="none" w:sz="0" w:space="0" w:color="auto" w:frame="1"/>
          <w:lang w:val="en-US" w:eastAsia="es-PA"/>
        </w:rPr>
        <w:t>LACRO 001/2017</w:t>
      </w:r>
    </w:p>
    <w:p w:rsidR="00C972D0" w:rsidRDefault="00C972D0" w:rsidP="002D5569">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2D5569" w:rsidRPr="00C972D0" w:rsidRDefault="00BD2521" w:rsidP="002D5569">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sidRPr="00C972D0">
        <w:rPr>
          <w:rFonts w:ascii="inherit" w:eastAsia="Times New Roman" w:hAnsi="inherit" w:cs="Times New Roman"/>
          <w:sz w:val="21"/>
          <w:szCs w:val="21"/>
          <w:bdr w:val="none" w:sz="0" w:space="0" w:color="auto" w:frame="1"/>
          <w:lang w:val="en-US" w:eastAsia="es-PA"/>
        </w:rPr>
        <w:t>POST TITLE:</w:t>
      </w:r>
      <w:r w:rsidRPr="00C972D0">
        <w:rPr>
          <w:rFonts w:ascii="inherit" w:eastAsia="Times New Roman" w:hAnsi="inherit" w:cs="Times New Roman"/>
          <w:sz w:val="21"/>
          <w:szCs w:val="21"/>
          <w:bdr w:val="none" w:sz="0" w:space="0" w:color="auto" w:frame="1"/>
          <w:lang w:val="en-US" w:eastAsia="es-PA"/>
        </w:rPr>
        <w:tab/>
      </w:r>
      <w:r w:rsidR="002D5569" w:rsidRPr="00C972D0">
        <w:rPr>
          <w:rFonts w:ascii="inherit" w:eastAsia="Times New Roman" w:hAnsi="inherit" w:cs="Times New Roman"/>
          <w:sz w:val="21"/>
          <w:szCs w:val="21"/>
          <w:bdr w:val="none" w:sz="0" w:space="0" w:color="auto" w:frame="1"/>
          <w:lang w:val="en-US" w:eastAsia="es-PA"/>
        </w:rPr>
        <w:tab/>
        <w:t>GBV in Emergencies (GBViE) Consultant</w:t>
      </w:r>
    </w:p>
    <w:p w:rsidR="00525DD0" w:rsidRPr="00C972D0" w:rsidRDefault="00525DD0"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BD2521" w:rsidRPr="0080705D" w:rsidRDefault="00BD2521"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sidRPr="00C972D0">
        <w:rPr>
          <w:rFonts w:ascii="inherit" w:eastAsia="Times New Roman" w:hAnsi="inherit" w:cs="Times New Roman"/>
          <w:sz w:val="21"/>
          <w:szCs w:val="21"/>
          <w:bdr w:val="none" w:sz="0" w:space="0" w:color="auto" w:frame="1"/>
          <w:lang w:val="en-US" w:eastAsia="es-PA"/>
        </w:rPr>
        <w:t>CATEGORY:</w:t>
      </w:r>
      <w:r w:rsidRPr="00C972D0">
        <w:rPr>
          <w:rFonts w:ascii="inherit" w:eastAsia="Times New Roman" w:hAnsi="inherit" w:cs="Times New Roman"/>
          <w:sz w:val="21"/>
          <w:szCs w:val="21"/>
          <w:bdr w:val="none" w:sz="0" w:space="0" w:color="auto" w:frame="1"/>
          <w:lang w:val="en-US" w:eastAsia="es-PA"/>
        </w:rPr>
        <w:tab/>
      </w:r>
      <w:r w:rsidR="00C972D0">
        <w:rPr>
          <w:rFonts w:ascii="inherit" w:eastAsia="Times New Roman" w:hAnsi="inherit" w:cs="Times New Roman"/>
          <w:sz w:val="21"/>
          <w:szCs w:val="21"/>
          <w:bdr w:val="none" w:sz="0" w:space="0" w:color="auto" w:frame="1"/>
          <w:lang w:val="en-US" w:eastAsia="es-PA"/>
        </w:rPr>
        <w:tab/>
      </w:r>
      <w:r w:rsidRPr="00C972D0">
        <w:rPr>
          <w:rFonts w:ascii="inherit" w:eastAsia="Times New Roman" w:hAnsi="inherit" w:cs="Times New Roman"/>
          <w:sz w:val="21"/>
          <w:szCs w:val="21"/>
          <w:bdr w:val="none" w:sz="0" w:space="0" w:color="auto" w:frame="1"/>
          <w:lang w:val="en-US" w:eastAsia="es-PA"/>
        </w:rPr>
        <w:t xml:space="preserve">Service Contract </w:t>
      </w:r>
      <w:r w:rsidR="00A61E8B" w:rsidRPr="0080705D">
        <w:rPr>
          <w:rFonts w:ascii="inherit" w:eastAsia="Times New Roman" w:hAnsi="inherit" w:cs="Times New Roman"/>
          <w:sz w:val="21"/>
          <w:szCs w:val="21"/>
          <w:bdr w:val="none" w:sz="0" w:space="0" w:color="auto" w:frame="1"/>
          <w:lang w:val="en-US" w:eastAsia="es-PA"/>
        </w:rPr>
        <w:t>SB-5</w:t>
      </w:r>
      <w:r w:rsidR="0071164D" w:rsidRPr="0080705D">
        <w:rPr>
          <w:rFonts w:ascii="inherit" w:eastAsia="Times New Roman" w:hAnsi="inherit" w:cs="Times New Roman"/>
          <w:sz w:val="21"/>
          <w:szCs w:val="21"/>
          <w:bdr w:val="none" w:sz="0" w:space="0" w:color="auto" w:frame="1"/>
          <w:lang w:val="en-US" w:eastAsia="es-PA"/>
        </w:rPr>
        <w:t xml:space="preserve"> </w:t>
      </w:r>
    </w:p>
    <w:p w:rsidR="00525DD0" w:rsidRPr="00C972D0" w:rsidRDefault="00525DD0"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BD2521" w:rsidRPr="00A61E8B" w:rsidRDefault="0071164D" w:rsidP="00C972D0">
      <w:pPr>
        <w:shd w:val="clear" w:color="auto" w:fill="FFFFFF"/>
        <w:spacing w:after="0" w:line="240" w:lineRule="auto"/>
        <w:textAlignment w:val="baseline"/>
        <w:rPr>
          <w:rFonts w:ascii="inherit" w:eastAsia="Times New Roman" w:hAnsi="inherit" w:cs="Times New Roman"/>
          <w:color w:val="FF0000"/>
          <w:sz w:val="21"/>
          <w:szCs w:val="21"/>
          <w:bdr w:val="none" w:sz="0" w:space="0" w:color="auto" w:frame="1"/>
          <w:lang w:val="en-US" w:eastAsia="es-PA"/>
        </w:rPr>
      </w:pPr>
      <w:r>
        <w:rPr>
          <w:rFonts w:ascii="inherit" w:eastAsia="Times New Roman" w:hAnsi="inherit" w:cs="Times New Roman"/>
          <w:sz w:val="21"/>
          <w:szCs w:val="21"/>
          <w:bdr w:val="none" w:sz="0" w:space="0" w:color="auto" w:frame="1"/>
          <w:lang w:val="en-US" w:eastAsia="es-PA"/>
        </w:rPr>
        <w:t>DURATION:</w:t>
      </w:r>
      <w:r>
        <w:rPr>
          <w:rFonts w:ascii="inherit" w:eastAsia="Times New Roman" w:hAnsi="inherit" w:cs="Times New Roman"/>
          <w:sz w:val="21"/>
          <w:szCs w:val="21"/>
          <w:bdr w:val="none" w:sz="0" w:space="0" w:color="auto" w:frame="1"/>
          <w:lang w:val="en-US" w:eastAsia="es-PA"/>
        </w:rPr>
        <w:tab/>
      </w:r>
      <w:r>
        <w:rPr>
          <w:rFonts w:ascii="inherit" w:eastAsia="Times New Roman" w:hAnsi="inherit" w:cs="Times New Roman"/>
          <w:sz w:val="21"/>
          <w:szCs w:val="21"/>
          <w:bdr w:val="none" w:sz="0" w:space="0" w:color="auto" w:frame="1"/>
          <w:lang w:val="en-US" w:eastAsia="es-PA"/>
        </w:rPr>
        <w:tab/>
      </w:r>
      <w:r w:rsidR="00A61E8B" w:rsidRPr="0080705D">
        <w:rPr>
          <w:rFonts w:ascii="inherit" w:eastAsia="Times New Roman" w:hAnsi="inherit" w:cs="Times New Roman"/>
          <w:sz w:val="21"/>
          <w:szCs w:val="21"/>
          <w:bdr w:val="none" w:sz="0" w:space="0" w:color="auto" w:frame="1"/>
          <w:lang w:val="en-US" w:eastAsia="es-PA"/>
        </w:rPr>
        <w:t xml:space="preserve">6 </w:t>
      </w:r>
      <w:r w:rsidRPr="0080705D">
        <w:rPr>
          <w:rFonts w:ascii="inherit" w:eastAsia="Times New Roman" w:hAnsi="inherit" w:cs="Times New Roman"/>
          <w:sz w:val="21"/>
          <w:szCs w:val="21"/>
          <w:bdr w:val="none" w:sz="0" w:space="0" w:color="auto" w:frame="1"/>
          <w:lang w:val="en-US" w:eastAsia="es-PA"/>
        </w:rPr>
        <w:t xml:space="preserve">months with possible extension </w:t>
      </w:r>
    </w:p>
    <w:p w:rsidR="00A24354" w:rsidRDefault="00A24354"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BD2521" w:rsidRDefault="00A24354"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Pr>
          <w:rFonts w:ascii="inherit" w:eastAsia="Times New Roman" w:hAnsi="inherit" w:cs="Times New Roman"/>
          <w:sz w:val="21"/>
          <w:szCs w:val="21"/>
          <w:bdr w:val="none" w:sz="0" w:space="0" w:color="auto" w:frame="1"/>
          <w:lang w:val="en-US" w:eastAsia="es-PA"/>
        </w:rPr>
        <w:t>CLOSING DATE:</w:t>
      </w:r>
      <w:r>
        <w:rPr>
          <w:rFonts w:ascii="inherit" w:eastAsia="Times New Roman" w:hAnsi="inherit" w:cs="Times New Roman"/>
          <w:sz w:val="21"/>
          <w:szCs w:val="21"/>
          <w:bdr w:val="none" w:sz="0" w:space="0" w:color="auto" w:frame="1"/>
          <w:lang w:val="en-US" w:eastAsia="es-PA"/>
        </w:rPr>
        <w:tab/>
        <w:t>7 June 2017</w:t>
      </w:r>
    </w:p>
    <w:p w:rsidR="00A24354" w:rsidRPr="00C972D0" w:rsidRDefault="00A24354"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BD2521" w:rsidRPr="00C972D0" w:rsidRDefault="00BD2521"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sidRPr="00C972D0">
        <w:rPr>
          <w:rFonts w:ascii="inherit" w:eastAsia="Times New Roman" w:hAnsi="inherit" w:cs="Times New Roman"/>
          <w:sz w:val="21"/>
          <w:szCs w:val="21"/>
          <w:bdr w:val="none" w:sz="0" w:space="0" w:color="auto" w:frame="1"/>
          <w:lang w:val="en-US" w:eastAsia="es-PA"/>
        </w:rPr>
        <w:t xml:space="preserve">ORGANIZATIONAL UNIT:     </w:t>
      </w:r>
      <w:r w:rsidRPr="00C972D0">
        <w:rPr>
          <w:rFonts w:ascii="inherit" w:eastAsia="Times New Roman" w:hAnsi="inherit" w:cs="Times New Roman"/>
          <w:sz w:val="21"/>
          <w:szCs w:val="21"/>
          <w:bdr w:val="none" w:sz="0" w:space="0" w:color="auto" w:frame="1"/>
          <w:lang w:val="en-US" w:eastAsia="es-PA"/>
        </w:rPr>
        <w:tab/>
        <w:t>Latin America and the Caribbean Regional Office</w:t>
      </w:r>
      <w:r w:rsidR="009B7229">
        <w:rPr>
          <w:rFonts w:ascii="inherit" w:eastAsia="Times New Roman" w:hAnsi="inherit" w:cs="Times New Roman"/>
          <w:sz w:val="21"/>
          <w:szCs w:val="21"/>
          <w:bdr w:val="none" w:sz="0" w:space="0" w:color="auto" w:frame="1"/>
          <w:lang w:val="en-US" w:eastAsia="es-PA"/>
        </w:rPr>
        <w:t xml:space="preserve"> (LACRO)</w:t>
      </w:r>
    </w:p>
    <w:p w:rsidR="00BD2521" w:rsidRPr="00C972D0" w:rsidRDefault="00BD2521" w:rsidP="00C972D0">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p>
    <w:p w:rsidR="00BD2521" w:rsidRPr="00C972D0" w:rsidRDefault="00BD2521" w:rsidP="00C972D0">
      <w:pPr>
        <w:shd w:val="clear" w:color="auto" w:fill="FFFFFF"/>
        <w:spacing w:after="0" w:line="240" w:lineRule="auto"/>
        <w:textAlignment w:val="baseline"/>
        <w:rPr>
          <w:rFonts w:ascii="inherit" w:eastAsia="Times New Roman" w:hAnsi="inherit" w:cs="Times New Roman"/>
          <w:sz w:val="21"/>
          <w:szCs w:val="21"/>
          <w:u w:val="single"/>
          <w:bdr w:val="none" w:sz="0" w:space="0" w:color="auto" w:frame="1"/>
          <w:lang w:val="en-US" w:eastAsia="es-PA"/>
        </w:rPr>
      </w:pPr>
    </w:p>
    <w:p w:rsidR="002D5569" w:rsidRDefault="002D5569" w:rsidP="00AA0E35">
      <w:pPr>
        <w:shd w:val="clear" w:color="auto" w:fill="FFFFFF"/>
        <w:spacing w:after="0" w:line="240" w:lineRule="auto"/>
        <w:textAlignment w:val="baseline"/>
        <w:rPr>
          <w:rFonts w:ascii="inherit" w:eastAsia="Times New Roman" w:hAnsi="inherit" w:cs="Times New Roman"/>
          <w:sz w:val="21"/>
          <w:szCs w:val="21"/>
          <w:u w:val="single"/>
          <w:bdr w:val="none" w:sz="0" w:space="0" w:color="auto" w:frame="1"/>
          <w:lang w:val="en-US" w:eastAsia="es-PA"/>
        </w:rPr>
      </w:pPr>
      <w:r>
        <w:rPr>
          <w:rFonts w:ascii="inherit" w:eastAsia="Times New Roman" w:hAnsi="inherit" w:cs="Times New Roman"/>
          <w:sz w:val="21"/>
          <w:szCs w:val="21"/>
          <w:u w:val="single"/>
          <w:bdr w:val="none" w:sz="0" w:space="0" w:color="auto" w:frame="1"/>
          <w:lang w:val="en-US" w:eastAsia="es-PA"/>
        </w:rPr>
        <w:t>Organizational Location:</w:t>
      </w:r>
    </w:p>
    <w:p w:rsidR="00C972D0" w:rsidRDefault="00C972D0" w:rsidP="00AA0E35">
      <w:pPr>
        <w:shd w:val="clear" w:color="auto" w:fill="FFFFFF"/>
        <w:spacing w:after="0" w:line="240" w:lineRule="auto"/>
        <w:textAlignment w:val="baseline"/>
        <w:rPr>
          <w:rFonts w:ascii="inherit" w:eastAsia="Times New Roman" w:hAnsi="inherit" w:cs="Times New Roman"/>
          <w:sz w:val="21"/>
          <w:szCs w:val="21"/>
          <w:u w:val="single"/>
          <w:bdr w:val="none" w:sz="0" w:space="0" w:color="auto" w:frame="1"/>
          <w:lang w:val="en-US" w:eastAsia="es-PA"/>
        </w:rPr>
      </w:pPr>
    </w:p>
    <w:p w:rsidR="002D5569" w:rsidRDefault="002D5569" w:rsidP="00AA0E35">
      <w:pPr>
        <w:shd w:val="clear" w:color="auto" w:fill="FFFFFF"/>
        <w:spacing w:after="0" w:line="240" w:lineRule="auto"/>
        <w:textAlignment w:val="baseline"/>
        <w:rPr>
          <w:rFonts w:ascii="inherit" w:eastAsia="Times New Roman" w:hAnsi="inherit" w:cs="Times New Roman"/>
          <w:sz w:val="21"/>
          <w:szCs w:val="21"/>
          <w:bdr w:val="none" w:sz="0" w:space="0" w:color="auto" w:frame="1"/>
          <w:lang w:val="en-US" w:eastAsia="es-PA"/>
        </w:rPr>
      </w:pPr>
      <w:r w:rsidRPr="00C972D0">
        <w:rPr>
          <w:rFonts w:ascii="inherit" w:eastAsia="Times New Roman" w:hAnsi="inherit" w:cs="Times New Roman"/>
          <w:sz w:val="21"/>
          <w:szCs w:val="21"/>
          <w:bdr w:val="none" w:sz="0" w:space="0" w:color="auto" w:frame="1"/>
          <w:lang w:val="en-US" w:eastAsia="es-PA"/>
        </w:rPr>
        <w:t>The GBViE c</w:t>
      </w:r>
      <w:r w:rsidR="009B7229">
        <w:rPr>
          <w:rFonts w:ascii="inherit" w:eastAsia="Times New Roman" w:hAnsi="inherit" w:cs="Times New Roman"/>
          <w:sz w:val="21"/>
          <w:szCs w:val="21"/>
          <w:bdr w:val="none" w:sz="0" w:space="0" w:color="auto" w:frame="1"/>
          <w:lang w:val="en-US" w:eastAsia="es-PA"/>
        </w:rPr>
        <w:t xml:space="preserve">onsultant is located in UNFPA’s Regional Office for Latin America and the Caribbean in Panama.  </w:t>
      </w:r>
    </w:p>
    <w:p w:rsidR="00A77A26" w:rsidRPr="00A64579" w:rsidRDefault="00A77A26" w:rsidP="00AA0E35">
      <w:pPr>
        <w:shd w:val="clear" w:color="auto" w:fill="FFFFFF"/>
        <w:spacing w:after="0" w:line="240" w:lineRule="auto"/>
        <w:jc w:val="both"/>
        <w:textAlignment w:val="baseline"/>
        <w:rPr>
          <w:rFonts w:ascii="inherit" w:eastAsia="Times New Roman" w:hAnsi="inherit" w:cs="Times New Roman"/>
          <w:color w:val="FF0000"/>
          <w:sz w:val="21"/>
          <w:szCs w:val="21"/>
          <w:lang w:val="en-US" w:eastAsia="es-PA"/>
        </w:rPr>
      </w:pPr>
    </w:p>
    <w:p w:rsidR="00A64579" w:rsidRPr="00535B99" w:rsidRDefault="00A64579" w:rsidP="00A64579">
      <w:pPr>
        <w:shd w:val="clear" w:color="auto" w:fill="FFFFFF"/>
        <w:spacing w:after="0" w:line="240" w:lineRule="auto"/>
        <w:textAlignment w:val="baseline"/>
        <w:rPr>
          <w:rFonts w:ascii="Times New Roman" w:eastAsia="Times New Roman" w:hAnsi="Times New Roman" w:cs="Times New Roman"/>
          <w:sz w:val="20"/>
          <w:szCs w:val="20"/>
          <w:lang w:val="en-US" w:eastAsia="es-PA"/>
        </w:rPr>
      </w:pPr>
      <w:r w:rsidRPr="00535B99">
        <w:rPr>
          <w:rFonts w:ascii="Times New Roman" w:eastAsia="Times New Roman" w:hAnsi="Times New Roman" w:cs="Times New Roman"/>
          <w:sz w:val="20"/>
          <w:szCs w:val="20"/>
          <w:u w:val="single"/>
          <w:bdr w:val="none" w:sz="0" w:space="0" w:color="auto" w:frame="1"/>
          <w:lang w:val="en-US" w:eastAsia="es-PA"/>
        </w:rPr>
        <w:t>Background</w:t>
      </w:r>
    </w:p>
    <w:p w:rsidR="00A64579" w:rsidRPr="00535B99" w:rsidRDefault="00A64579" w:rsidP="00A64579">
      <w:pPr>
        <w:shd w:val="clear" w:color="auto" w:fill="FFFFFF"/>
        <w:spacing w:after="0" w:line="240" w:lineRule="auto"/>
        <w:jc w:val="both"/>
        <w:textAlignment w:val="baseline"/>
        <w:rPr>
          <w:rFonts w:ascii="Times New Roman" w:eastAsia="Times New Roman" w:hAnsi="Times New Roman" w:cs="Times New Roman"/>
          <w:sz w:val="20"/>
          <w:szCs w:val="20"/>
          <w:lang w:val="en-US" w:eastAsia="es-PA"/>
        </w:rPr>
      </w:pPr>
    </w:p>
    <w:p w:rsidR="00A64579" w:rsidRPr="00535B99" w:rsidRDefault="00A64579" w:rsidP="00A64579">
      <w:pPr>
        <w:shd w:val="clear" w:color="auto" w:fill="FFFFFF"/>
        <w:spacing w:after="0" w:line="240" w:lineRule="auto"/>
        <w:jc w:val="both"/>
        <w:textAlignment w:val="baseline"/>
        <w:rPr>
          <w:rFonts w:ascii="Times New Roman" w:eastAsia="Times New Roman" w:hAnsi="Times New Roman" w:cs="Times New Roman"/>
          <w:sz w:val="20"/>
          <w:szCs w:val="20"/>
          <w:lang w:val="en-US" w:eastAsia="es-PA"/>
        </w:rPr>
      </w:pPr>
      <w:r w:rsidRPr="00535B99">
        <w:rPr>
          <w:rFonts w:ascii="Times New Roman" w:eastAsia="Times New Roman" w:hAnsi="Times New Roman" w:cs="Times New Roman"/>
          <w:sz w:val="20"/>
          <w:szCs w:val="20"/>
          <w:lang w:val="en-US" w:eastAsia="es-PA"/>
        </w:rPr>
        <w:t>UNFPA’s mission is to work towards delivering a world where every pregnancy is wanted, every child birth is safe, and every young person’s potential is fulfilled. In humanitarian contexts, UNFPA works in collaboration with partners to provide lifesaving sexual and reproductive health services and to implement and coordinate gender based violence prevention, protection and response programs.  Risk mitigation and preparedness are also UNFPA core interventions in order to build countries’ and communities’ resilience and address the humanitarian-</w:t>
      </w:r>
      <w:r w:rsidR="00025272">
        <w:rPr>
          <w:rFonts w:ascii="Times New Roman" w:eastAsia="Times New Roman" w:hAnsi="Times New Roman" w:cs="Times New Roman"/>
          <w:sz w:val="20"/>
          <w:szCs w:val="20"/>
          <w:lang w:val="en-US" w:eastAsia="es-PA"/>
        </w:rPr>
        <w:t xml:space="preserve"> </w:t>
      </w:r>
      <w:r w:rsidRPr="00535B99">
        <w:rPr>
          <w:rFonts w:ascii="Times New Roman" w:eastAsia="Times New Roman" w:hAnsi="Times New Roman" w:cs="Times New Roman"/>
          <w:sz w:val="20"/>
          <w:szCs w:val="20"/>
          <w:lang w:val="en-US" w:eastAsia="es-PA"/>
        </w:rPr>
        <w:t xml:space="preserve">development nexus. UNFPA Regional Office for Latin America and the Caribbean (LACRO) is seeking a local consultant to support advocacy, program implementation and interagency coordination in regard to GBV and the Minimum Initial Service Package (MISP) for Sexual and Reproductive Health in emergency preparedness and response.  </w:t>
      </w:r>
    </w:p>
    <w:p w:rsidR="00A64579" w:rsidRPr="00535B99" w:rsidRDefault="00A64579" w:rsidP="00A64579">
      <w:pPr>
        <w:shd w:val="clear" w:color="auto" w:fill="FFFFFF"/>
        <w:spacing w:after="0" w:line="240" w:lineRule="auto"/>
        <w:textAlignment w:val="baseline"/>
        <w:rPr>
          <w:rFonts w:ascii="Times New Roman" w:eastAsia="Times New Roman" w:hAnsi="Times New Roman" w:cs="Times New Roman"/>
          <w:sz w:val="20"/>
          <w:szCs w:val="20"/>
          <w:u w:val="single"/>
          <w:bdr w:val="none" w:sz="0" w:space="0" w:color="auto" w:frame="1"/>
          <w:lang w:val="en-US" w:eastAsia="es-PA"/>
        </w:rPr>
      </w:pPr>
    </w:p>
    <w:p w:rsidR="00A64579" w:rsidRPr="00535B99" w:rsidRDefault="00A64579" w:rsidP="00A64579">
      <w:pPr>
        <w:shd w:val="clear" w:color="auto" w:fill="FFFFFF"/>
        <w:spacing w:after="0" w:line="240" w:lineRule="auto"/>
        <w:textAlignment w:val="baseline"/>
        <w:rPr>
          <w:rFonts w:ascii="inherit" w:eastAsia="Times New Roman" w:hAnsi="inherit" w:cs="Times New Roman"/>
          <w:sz w:val="21"/>
          <w:szCs w:val="21"/>
          <w:u w:val="single"/>
          <w:bdr w:val="none" w:sz="0" w:space="0" w:color="auto" w:frame="1"/>
          <w:lang w:val="en-US" w:eastAsia="es-PA"/>
        </w:rPr>
      </w:pPr>
      <w:r w:rsidRPr="00535B99">
        <w:rPr>
          <w:rFonts w:ascii="inherit" w:eastAsia="Times New Roman" w:hAnsi="inherit" w:cs="Times New Roman"/>
          <w:sz w:val="21"/>
          <w:szCs w:val="21"/>
          <w:u w:val="single"/>
          <w:bdr w:val="none" w:sz="0" w:space="0" w:color="auto" w:frame="1"/>
          <w:lang w:val="en-US" w:eastAsia="es-PA"/>
        </w:rPr>
        <w:t>Job Purpose</w:t>
      </w:r>
    </w:p>
    <w:p w:rsidR="00E51EF3" w:rsidRPr="00535B99" w:rsidRDefault="00E51EF3" w:rsidP="00A77A26">
      <w:pPr>
        <w:shd w:val="clear" w:color="auto" w:fill="FFFFFF"/>
        <w:spacing w:after="0" w:line="240" w:lineRule="auto"/>
        <w:textAlignment w:val="baseline"/>
        <w:rPr>
          <w:rFonts w:ascii="inherit" w:eastAsia="Times New Roman" w:hAnsi="inherit" w:cs="Times New Roman"/>
          <w:sz w:val="21"/>
          <w:szCs w:val="21"/>
          <w:u w:val="single"/>
          <w:bdr w:val="none" w:sz="0" w:space="0" w:color="auto" w:frame="1"/>
          <w:lang w:val="en-US" w:eastAsia="es-PA"/>
        </w:rPr>
      </w:pPr>
    </w:p>
    <w:p w:rsidR="00A64579" w:rsidRPr="00535B99" w:rsidRDefault="00A64579" w:rsidP="00A64579">
      <w:pPr>
        <w:shd w:val="clear" w:color="auto" w:fill="FFFFFF"/>
        <w:spacing w:after="0" w:line="240" w:lineRule="auto"/>
        <w:jc w:val="both"/>
        <w:textAlignment w:val="baseline"/>
        <w:rPr>
          <w:rFonts w:ascii="Times New Roman" w:eastAsia="Times New Roman" w:hAnsi="Times New Roman" w:cs="Times New Roman"/>
          <w:sz w:val="20"/>
          <w:szCs w:val="20"/>
          <w:lang w:val="en-US" w:eastAsia="es-PA"/>
        </w:rPr>
      </w:pPr>
      <w:r w:rsidRPr="00535B99">
        <w:rPr>
          <w:rFonts w:ascii="Times New Roman" w:eastAsia="Times New Roman" w:hAnsi="Times New Roman" w:cs="Times New Roman"/>
          <w:sz w:val="20"/>
          <w:szCs w:val="20"/>
          <w:lang w:val="en-US" w:eastAsia="es-PA"/>
        </w:rPr>
        <w:t xml:space="preserve">The GBViE consultant will report to the Regional Programme Advisor and will work in close consultation with LACRO technical advisors to i) support the roll out of UNFPA’s Minimum Preparedness Actions (MPAs) at regional and country level to strengthen integration of MISP, GBV and data themes in preparedness processes; ii) provide training and technical support to strengthen UNFPA regional and country offices capacities in design, implementation, and monitoring of GBViE prevention and response programs; and iii) support regional and country office teams to strengthen GBViE multi-sectoral coordination </w:t>
      </w:r>
      <w:r w:rsidRPr="00535B99">
        <w:rPr>
          <w:rFonts w:ascii="Times New Roman" w:eastAsia="Times New Roman" w:hAnsi="Times New Roman" w:cs="Times New Roman"/>
          <w:bCs/>
          <w:sz w:val="20"/>
          <w:szCs w:val="20"/>
          <w:bdr w:val="none" w:sz="0" w:space="0" w:color="auto" w:frame="1"/>
          <w:lang w:val="en-US" w:eastAsia="es-PA"/>
        </w:rPr>
        <w:t xml:space="preserve">in </w:t>
      </w:r>
      <w:r w:rsidRPr="00535B99">
        <w:rPr>
          <w:rFonts w:ascii="Times New Roman" w:eastAsia="Times New Roman" w:hAnsi="Times New Roman" w:cs="Times New Roman"/>
          <w:sz w:val="20"/>
          <w:szCs w:val="20"/>
          <w:lang w:val="en-US" w:eastAsia="es-PA"/>
        </w:rPr>
        <w:t>line with UNFPA’s role as lead of the global GBV Area of Responsibility (AOR)</w:t>
      </w:r>
    </w:p>
    <w:p w:rsidR="00A64579" w:rsidRPr="00535B99" w:rsidRDefault="00A64579" w:rsidP="00A64579">
      <w:pPr>
        <w:shd w:val="clear" w:color="auto" w:fill="FFFFFF"/>
        <w:spacing w:after="0" w:line="240" w:lineRule="auto"/>
        <w:jc w:val="both"/>
        <w:textAlignment w:val="baseline"/>
        <w:rPr>
          <w:rFonts w:ascii="inherit" w:eastAsia="Times New Roman" w:hAnsi="inherit" w:cs="Times New Roman"/>
          <w:sz w:val="21"/>
          <w:szCs w:val="21"/>
          <w:u w:val="single"/>
          <w:lang w:val="en-US" w:eastAsia="es-PA"/>
        </w:rPr>
      </w:pPr>
    </w:p>
    <w:p w:rsidR="00B00678" w:rsidRPr="00535B99" w:rsidRDefault="00B00678" w:rsidP="00B00678">
      <w:pPr>
        <w:shd w:val="clear" w:color="auto" w:fill="FFFFFF"/>
        <w:spacing w:after="360" w:line="240" w:lineRule="auto"/>
        <w:jc w:val="both"/>
        <w:textAlignment w:val="baseline"/>
        <w:rPr>
          <w:rFonts w:ascii="inherit" w:eastAsia="Times New Roman" w:hAnsi="inherit" w:cs="Times New Roman"/>
          <w:sz w:val="21"/>
          <w:szCs w:val="21"/>
          <w:u w:val="single"/>
          <w:lang w:val="en-US" w:eastAsia="es-PA"/>
        </w:rPr>
      </w:pPr>
      <w:r w:rsidRPr="00535B99">
        <w:rPr>
          <w:rFonts w:ascii="inherit" w:eastAsia="Times New Roman" w:hAnsi="inherit" w:cs="Times New Roman"/>
          <w:sz w:val="21"/>
          <w:szCs w:val="21"/>
          <w:u w:val="single"/>
          <w:lang w:val="en-US" w:eastAsia="es-PA"/>
        </w:rPr>
        <w:t>Key Activities</w:t>
      </w:r>
    </w:p>
    <w:p w:rsidR="00A64579" w:rsidRPr="00535B99" w:rsidRDefault="00A64579" w:rsidP="00A64579">
      <w:pPr>
        <w:spacing w:after="0" w:line="240" w:lineRule="auto"/>
        <w:rPr>
          <w:rFonts w:ascii="Times New Roman" w:hAnsi="Times New Roman" w:cs="Times New Roman"/>
          <w:sz w:val="20"/>
          <w:szCs w:val="20"/>
          <w:lang w:val="en-US"/>
        </w:rPr>
      </w:pPr>
      <w:r w:rsidRPr="00535B99">
        <w:rPr>
          <w:rFonts w:ascii="Times New Roman" w:hAnsi="Times New Roman" w:cs="Times New Roman"/>
          <w:sz w:val="20"/>
          <w:szCs w:val="20"/>
          <w:lang w:val="en-US"/>
        </w:rPr>
        <w:t xml:space="preserve">Advocacy, Technical Support and Coordination  </w:t>
      </w:r>
    </w:p>
    <w:p w:rsidR="00A64579" w:rsidRPr="00535B99" w:rsidRDefault="00A64579" w:rsidP="00A64579">
      <w:pPr>
        <w:spacing w:after="0" w:line="240" w:lineRule="auto"/>
        <w:rPr>
          <w:rFonts w:ascii="Times New Roman" w:hAnsi="Times New Roman" w:cs="Times New Roman"/>
          <w:sz w:val="20"/>
          <w:szCs w:val="20"/>
          <w:lang w:val="en-US"/>
        </w:rPr>
      </w:pPr>
    </w:p>
    <w:p w:rsidR="00A64579" w:rsidRPr="00535B99" w:rsidRDefault="00A64579" w:rsidP="0080705D">
      <w:pPr>
        <w:pStyle w:val="ListParagraph"/>
        <w:numPr>
          <w:ilvl w:val="0"/>
          <w:numId w:val="14"/>
        </w:numPr>
        <w:jc w:val="both"/>
        <w:rPr>
          <w:rFonts w:ascii="Times New Roman" w:hAnsi="Times New Roman"/>
          <w:sz w:val="20"/>
          <w:szCs w:val="20"/>
          <w:lang w:val="en-US"/>
        </w:rPr>
      </w:pPr>
      <w:r w:rsidRPr="00535B99">
        <w:rPr>
          <w:rFonts w:ascii="Times New Roman" w:hAnsi="Times New Roman"/>
          <w:sz w:val="20"/>
          <w:szCs w:val="20"/>
          <w:lang w:val="en-US"/>
        </w:rPr>
        <w:t>Assist UNFPA regional and country offices with the design of GBViE program responses including geographic areas of intervention, in coordination with internal and external actors </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Advocate for MISP, GBViE and humanitarian data priorities including through participation in regional inter-agency humanitarian coordination mechanisms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Advocate with other humanitarian actors and/or sectors on the inclusion of specific activities for GBV risks mitigation and promote GBV mainstreaming</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Ensure that regional inter-agency tools, guidance or training courses on emergency needs assessment, information management and response monitoring address MISP and GBV issues.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Support resource mobilization for emergency preparedness and response through technical support for the development of proposals for humanitarian and other relevant funding according to the criteria of potential donors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 xml:space="preserve">Provide training to UNFPA gender and humanitarian focal points on the Minimum Standards for GBViE </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Support coordination of inter-sector training on the IASC guidelines on GBViE in the three countries of the Northern Triangle/three sectoral working groups per country and provide follow up on integration of GBViE objectives in corresponding sectoral work plans.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 xml:space="preserve">Draft briefs, reports and other strategic documents as required, including the monthly update for the Humanitarian Steering Committee and inputs from the region to UNFPA corporate planning and reporting on humanitarian preparedness and response.    </w:t>
      </w:r>
    </w:p>
    <w:p w:rsidR="00A64579" w:rsidRPr="00535B99" w:rsidRDefault="00A64579" w:rsidP="0080705D">
      <w:pPr>
        <w:spacing w:after="0" w:line="240" w:lineRule="auto"/>
        <w:jc w:val="both"/>
        <w:rPr>
          <w:rFonts w:ascii="Times New Roman" w:hAnsi="Times New Roman" w:cs="Times New Roman"/>
          <w:sz w:val="20"/>
          <w:szCs w:val="20"/>
          <w:lang w:val="en-US"/>
        </w:rPr>
      </w:pPr>
    </w:p>
    <w:p w:rsidR="00A64579" w:rsidRPr="00535B99" w:rsidRDefault="00A64579" w:rsidP="00A64579">
      <w:pPr>
        <w:spacing w:after="0" w:line="240" w:lineRule="auto"/>
        <w:rPr>
          <w:rFonts w:ascii="Times New Roman" w:hAnsi="Times New Roman" w:cs="Times New Roman"/>
          <w:sz w:val="20"/>
          <w:szCs w:val="20"/>
          <w:lang w:val="en-US"/>
        </w:rPr>
      </w:pPr>
      <w:r w:rsidRPr="00535B99">
        <w:rPr>
          <w:rFonts w:ascii="Times New Roman" w:hAnsi="Times New Roman" w:cs="Times New Roman"/>
          <w:sz w:val="20"/>
          <w:szCs w:val="20"/>
          <w:lang w:val="en-US"/>
        </w:rPr>
        <w:t>Emergency Field Support</w:t>
      </w:r>
    </w:p>
    <w:p w:rsidR="00A64579" w:rsidRPr="00535B99" w:rsidRDefault="00A64579" w:rsidP="00A64579">
      <w:pPr>
        <w:spacing w:after="0" w:line="240" w:lineRule="auto"/>
        <w:rPr>
          <w:rFonts w:ascii="Times New Roman" w:hAnsi="Times New Roman" w:cs="Times New Roman"/>
          <w:sz w:val="20"/>
          <w:szCs w:val="20"/>
          <w:lang w:val="en-US"/>
        </w:rPr>
      </w:pPr>
    </w:p>
    <w:p w:rsidR="00A64579" w:rsidRPr="00535B99" w:rsidRDefault="00A64579" w:rsidP="0080705D">
      <w:pPr>
        <w:numPr>
          <w:ilvl w:val="0"/>
          <w:numId w:val="15"/>
        </w:numPr>
        <w:shd w:val="clear" w:color="auto" w:fill="FFFFFF"/>
        <w:spacing w:after="0" w:line="240" w:lineRule="auto"/>
        <w:ind w:right="360"/>
        <w:jc w:val="both"/>
        <w:textAlignment w:val="baseline"/>
        <w:rPr>
          <w:rFonts w:ascii="Times New Roman" w:hAnsi="Times New Roman" w:cs="Times New Roman"/>
          <w:sz w:val="20"/>
          <w:szCs w:val="20"/>
          <w:lang w:val="en-US"/>
        </w:rPr>
      </w:pPr>
      <w:r w:rsidRPr="00535B99">
        <w:rPr>
          <w:rFonts w:ascii="Times New Roman" w:hAnsi="Times New Roman" w:cs="Times New Roman"/>
          <w:sz w:val="20"/>
          <w:szCs w:val="20"/>
          <w:lang w:val="en-US"/>
        </w:rPr>
        <w:t>Support emergency joint assessments analyzing the local political, social and economic environment relevant to sexual and reproductive health, GBViE, adolescents and youth and identifying needs and opportunities for UNFPA assistance and interventions</w:t>
      </w:r>
    </w:p>
    <w:p w:rsidR="00A64579" w:rsidRPr="00535B99" w:rsidRDefault="00A64579" w:rsidP="0080705D">
      <w:pPr>
        <w:numPr>
          <w:ilvl w:val="0"/>
          <w:numId w:val="15"/>
        </w:numPr>
        <w:shd w:val="clear" w:color="auto" w:fill="FFFFFF"/>
        <w:spacing w:after="0" w:line="240" w:lineRule="auto"/>
        <w:ind w:right="360"/>
        <w:jc w:val="both"/>
        <w:textAlignment w:val="baseline"/>
        <w:rPr>
          <w:rFonts w:ascii="Times New Roman" w:hAnsi="Times New Roman" w:cs="Times New Roman"/>
          <w:sz w:val="20"/>
          <w:szCs w:val="20"/>
          <w:lang w:val="en-US"/>
        </w:rPr>
      </w:pPr>
      <w:r w:rsidRPr="00535B99">
        <w:rPr>
          <w:rFonts w:ascii="Times New Roman" w:hAnsi="Times New Roman" w:cs="Times New Roman"/>
          <w:sz w:val="20"/>
          <w:szCs w:val="20"/>
          <w:lang w:val="en-US"/>
        </w:rPr>
        <w:t xml:space="preserve">Support country offices to provide leadership for robust and well-functioning coordination bodies to  promote standards of GBV prevention and response in line with global guidance, ensuring representation of the range of actors addressing GBV across multiple sectors (health, psychosocial, legal, security, etc.) and categories of actors (UN, NGO, civil society, government, etc.) </w:t>
      </w:r>
    </w:p>
    <w:p w:rsidR="00A64579" w:rsidRPr="00535B99" w:rsidRDefault="00A64579" w:rsidP="0080705D">
      <w:pPr>
        <w:numPr>
          <w:ilvl w:val="0"/>
          <w:numId w:val="15"/>
        </w:numPr>
        <w:shd w:val="clear" w:color="auto" w:fill="FFFFFF"/>
        <w:spacing w:after="0" w:line="240" w:lineRule="auto"/>
        <w:ind w:right="360"/>
        <w:jc w:val="both"/>
        <w:textAlignment w:val="baseline"/>
        <w:rPr>
          <w:rFonts w:ascii="Times New Roman" w:hAnsi="Times New Roman" w:cs="Times New Roman"/>
          <w:sz w:val="20"/>
          <w:szCs w:val="20"/>
          <w:lang w:val="en-US"/>
        </w:rPr>
      </w:pPr>
      <w:r w:rsidRPr="00535B99">
        <w:rPr>
          <w:rFonts w:ascii="Times New Roman" w:hAnsi="Times New Roman" w:cs="Times New Roman"/>
          <w:sz w:val="20"/>
          <w:szCs w:val="20"/>
          <w:lang w:val="en-US"/>
        </w:rPr>
        <w:t>Support the development of survivor centered referral pathways among services necessary for providing quality and timely care to GBV survivors, hence contributing to the development of a local and/or national Standards Operating Procedures</w:t>
      </w:r>
    </w:p>
    <w:p w:rsidR="00A64579" w:rsidRPr="00535B99" w:rsidRDefault="00A64579" w:rsidP="00A64579">
      <w:pPr>
        <w:pStyle w:val="ListParagraph"/>
        <w:rPr>
          <w:rFonts w:ascii="Times New Roman" w:hAnsi="Times New Roman"/>
          <w:sz w:val="20"/>
          <w:szCs w:val="20"/>
          <w:lang w:val="en-US"/>
        </w:rPr>
      </w:pPr>
    </w:p>
    <w:p w:rsidR="00A64579" w:rsidRDefault="00A64579" w:rsidP="00A64579">
      <w:pPr>
        <w:spacing w:after="0" w:line="240" w:lineRule="auto"/>
        <w:rPr>
          <w:rFonts w:ascii="Times New Roman" w:hAnsi="Times New Roman" w:cs="Times New Roman"/>
          <w:sz w:val="20"/>
          <w:szCs w:val="20"/>
          <w:lang w:val="en-US"/>
        </w:rPr>
      </w:pPr>
      <w:r w:rsidRPr="00535B99">
        <w:rPr>
          <w:rFonts w:ascii="Times New Roman" w:hAnsi="Times New Roman" w:cs="Times New Roman"/>
          <w:sz w:val="20"/>
          <w:szCs w:val="20"/>
          <w:lang w:val="en-US"/>
        </w:rPr>
        <w:t>Roll out of the Minimum Preparedness Actions</w:t>
      </w:r>
    </w:p>
    <w:p w:rsidR="002D1E18" w:rsidRPr="00535B99" w:rsidRDefault="002D1E18" w:rsidP="00A64579">
      <w:pPr>
        <w:spacing w:after="0" w:line="240" w:lineRule="auto"/>
        <w:rPr>
          <w:rFonts w:ascii="Times New Roman" w:hAnsi="Times New Roman" w:cs="Times New Roman"/>
          <w:sz w:val="20"/>
          <w:szCs w:val="20"/>
          <w:lang w:val="en-US"/>
        </w:rPr>
      </w:pP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Provide support and coordination for regional risk analysis and monitoring and contingency planning</w:t>
      </w:r>
      <w:r w:rsidRPr="00535B99">
        <w:rPr>
          <w:rFonts w:ascii="Times New Roman" w:hAnsi="Times New Roman"/>
          <w:sz w:val="20"/>
          <w:szCs w:val="20"/>
          <w:lang w:val="en-US"/>
        </w:rPr>
        <w:br/>
        <w:t>which addresses corporate commitments in MISP, GBViE and data</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Support the piloting of the regional geo-referenced application for humanitarian data</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Support the development and implementation of an Annual Preparedness Action Plan for the RO</w:t>
      </w:r>
      <w:r w:rsidRPr="00535B99">
        <w:rPr>
          <w:rFonts w:ascii="Times New Roman" w:hAnsi="Times New Roman"/>
          <w:sz w:val="20"/>
          <w:szCs w:val="20"/>
          <w:lang w:val="en-US"/>
        </w:rPr>
        <w:br/>
        <w:t>in coordination with the Regional Preparedness Team and support COs in the development and implementation of Annual Preparedness Plans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 xml:space="preserve">Monitor progress in achieving minimum preparedness requirements at regional and country level </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Support the documentation and dissemination of lessons learned and good practices on emergency</w:t>
      </w:r>
      <w:r w:rsidRPr="00535B99">
        <w:rPr>
          <w:rFonts w:ascii="Times New Roman" w:hAnsi="Times New Roman"/>
          <w:sz w:val="20"/>
          <w:szCs w:val="20"/>
          <w:lang w:val="en-US"/>
        </w:rPr>
        <w:br/>
        <w:t>preparedness and response in the region</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Organize the briefing/training for RO preparedness and response team members to perform their functions in emergencies based on the Minimum Trainings for UNFPA Staff in the UNFPA Preparedness Toolbox covering Standard Operating Procedures (SOPs) and Fast Track Policies and Procedures (FTPs).</w:t>
      </w:r>
    </w:p>
    <w:p w:rsidR="00A64579" w:rsidRPr="00535B99" w:rsidRDefault="00A64579" w:rsidP="00A64579">
      <w:pPr>
        <w:spacing w:after="0" w:line="240" w:lineRule="auto"/>
        <w:rPr>
          <w:rFonts w:ascii="Times New Roman" w:hAnsi="Times New Roman" w:cs="Times New Roman"/>
          <w:sz w:val="20"/>
          <w:szCs w:val="20"/>
          <w:lang w:val="en-US"/>
        </w:rPr>
      </w:pPr>
    </w:p>
    <w:p w:rsidR="00BC0F19" w:rsidRPr="00535B99" w:rsidRDefault="00186725" w:rsidP="005E794C">
      <w:pPr>
        <w:rPr>
          <w:rFonts w:ascii="ArialMT" w:hAnsi="ArialMT"/>
          <w:sz w:val="20"/>
          <w:szCs w:val="20"/>
          <w:u w:val="single"/>
          <w:lang w:val="en-US"/>
        </w:rPr>
      </w:pPr>
      <w:r w:rsidRPr="00535B99">
        <w:rPr>
          <w:rFonts w:ascii="ArialMT" w:hAnsi="ArialMT"/>
          <w:sz w:val="20"/>
          <w:szCs w:val="20"/>
          <w:u w:val="single"/>
          <w:lang w:val="en-US"/>
        </w:rPr>
        <w:t>Key Deliverables</w:t>
      </w:r>
    </w:p>
    <w:p w:rsidR="00194971" w:rsidRPr="00535B99" w:rsidRDefault="00194971"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Progress report on rollout of the MPAs in the region</w:t>
      </w:r>
    </w:p>
    <w:p w:rsidR="00194971" w:rsidRPr="00535B99" w:rsidRDefault="00194971"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Documentation of training of UNFPA Gender and Humanitarian Focal Points in GBViE minimum standards</w:t>
      </w:r>
    </w:p>
    <w:p w:rsidR="00194971" w:rsidRPr="00535B99" w:rsidRDefault="00194971"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Work plans of sectoral working groups participating in the training on the IASC guidelines integrating at least 1 objective on GBViE with clear activities and indicators</w:t>
      </w:r>
    </w:p>
    <w:p w:rsidR="00194971" w:rsidRPr="00535B99" w:rsidRDefault="00194971"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 xml:space="preserve">Regular reports for the Humanitarian Steering Committee   </w:t>
      </w:r>
    </w:p>
    <w:p w:rsidR="00194971" w:rsidRPr="00535B99" w:rsidRDefault="00194971" w:rsidP="0080705D">
      <w:pPr>
        <w:spacing w:after="0" w:line="240" w:lineRule="auto"/>
        <w:jc w:val="both"/>
        <w:rPr>
          <w:rFonts w:ascii="Times New Roman" w:hAnsi="Times New Roman" w:cs="Times New Roman"/>
          <w:sz w:val="20"/>
          <w:szCs w:val="20"/>
          <w:lang w:val="en-US"/>
        </w:rPr>
      </w:pPr>
    </w:p>
    <w:p w:rsidR="00194971" w:rsidRPr="00535B99" w:rsidRDefault="00194971" w:rsidP="00194971">
      <w:pPr>
        <w:shd w:val="clear" w:color="auto" w:fill="FFFFFF"/>
        <w:spacing w:after="0" w:line="240" w:lineRule="auto"/>
        <w:textAlignment w:val="baseline"/>
        <w:rPr>
          <w:rFonts w:ascii="Times New Roman" w:hAnsi="Times New Roman" w:cs="Times New Roman"/>
          <w:sz w:val="20"/>
          <w:szCs w:val="20"/>
          <w:u w:val="single"/>
          <w:lang w:val="en-US"/>
        </w:rPr>
      </w:pPr>
    </w:p>
    <w:p w:rsidR="00A64579" w:rsidRPr="00535B99" w:rsidRDefault="00A64579" w:rsidP="00A64579">
      <w:pPr>
        <w:spacing w:after="0" w:line="240" w:lineRule="auto"/>
        <w:rPr>
          <w:rFonts w:ascii="Times New Roman" w:hAnsi="Times New Roman" w:cs="Times New Roman"/>
          <w:sz w:val="20"/>
          <w:szCs w:val="20"/>
          <w:u w:val="single"/>
          <w:lang w:val="en-US"/>
        </w:rPr>
      </w:pPr>
      <w:r w:rsidRPr="00535B99">
        <w:rPr>
          <w:rFonts w:ascii="Times New Roman" w:hAnsi="Times New Roman" w:cs="Times New Roman"/>
          <w:sz w:val="20"/>
          <w:szCs w:val="20"/>
          <w:u w:val="single"/>
          <w:lang w:val="en-US"/>
        </w:rPr>
        <w:t>Qualifications, Skills and Experience</w:t>
      </w:r>
    </w:p>
    <w:p w:rsidR="00194971" w:rsidRPr="00535B99" w:rsidRDefault="00194971" w:rsidP="00A64579">
      <w:pPr>
        <w:spacing w:after="0" w:line="240" w:lineRule="auto"/>
        <w:rPr>
          <w:rFonts w:ascii="Times New Roman" w:hAnsi="Times New Roman" w:cs="Times New Roman"/>
          <w:sz w:val="20"/>
          <w:szCs w:val="20"/>
          <w:lang w:val="en-US"/>
        </w:rPr>
      </w:pP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Advanced university degree or equivalent in gender studies, social anthropology, public health or other related field;</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Knowledge of SRH, GBV and humanitarian priorities in Latin America and the Caribbean</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Minimum of five years of demonstrated experience and technical proficiency in designing, adapting, implementing and evaluating GBV prevention and response programs, some being in  humanitarian/emergency settings;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Knowledge and experience of humanitarian architecture and coordination mechanisms;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Excellent understanding of the survivor-centered approach and multi-sectorial GBV response;</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 xml:space="preserve">Experience in data collection and analysis including in cross-cultural and emergency settings; </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Ability to work with a wide range of diverse stakeholders such as national and international NGOs, governments and local authorities, donors, international organizations;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Excellent communication skills and demonstrated ability to work as part of a team, with team members based in other countries/organizations;</w:t>
      </w:r>
    </w:p>
    <w:p w:rsidR="00A64579" w:rsidRPr="00535B99" w:rsidRDefault="00A64579" w:rsidP="0080705D">
      <w:pPr>
        <w:pStyle w:val="ListParagraph"/>
        <w:numPr>
          <w:ilvl w:val="0"/>
          <w:numId w:val="11"/>
        </w:numPr>
        <w:jc w:val="both"/>
        <w:rPr>
          <w:rFonts w:ascii="Times New Roman" w:hAnsi="Times New Roman"/>
          <w:sz w:val="20"/>
          <w:szCs w:val="20"/>
          <w:lang w:val="en-US"/>
        </w:rPr>
      </w:pPr>
      <w:r w:rsidRPr="00535B99">
        <w:rPr>
          <w:rFonts w:ascii="Times New Roman" w:hAnsi="Times New Roman"/>
          <w:sz w:val="20"/>
          <w:szCs w:val="20"/>
          <w:lang w:val="en-US"/>
        </w:rPr>
        <w:t xml:space="preserve">Availability and willingness to travel </w:t>
      </w:r>
    </w:p>
    <w:p w:rsidR="00A64579" w:rsidRPr="00535B99" w:rsidRDefault="00A64579" w:rsidP="00A64579">
      <w:pPr>
        <w:shd w:val="clear" w:color="auto" w:fill="FFFFFF"/>
        <w:spacing w:after="0" w:line="240" w:lineRule="auto"/>
        <w:ind w:right="360"/>
        <w:textAlignment w:val="baseline"/>
        <w:rPr>
          <w:rFonts w:ascii="Times New Roman" w:eastAsia="Times New Roman" w:hAnsi="Times New Roman" w:cs="Times New Roman"/>
          <w:b/>
          <w:bCs/>
          <w:sz w:val="20"/>
          <w:szCs w:val="20"/>
          <w:bdr w:val="none" w:sz="0" w:space="0" w:color="auto" w:frame="1"/>
          <w:lang w:val="en-US" w:eastAsia="es-PA"/>
        </w:rPr>
      </w:pPr>
    </w:p>
    <w:p w:rsidR="00535B99" w:rsidRDefault="00324715" w:rsidP="00324715">
      <w:pPr>
        <w:shd w:val="clear" w:color="auto" w:fill="FFFFFF"/>
        <w:spacing w:after="0" w:line="240" w:lineRule="auto"/>
        <w:textAlignment w:val="baseline"/>
        <w:rPr>
          <w:rFonts w:ascii="Times New Roman" w:eastAsia="Times New Roman" w:hAnsi="Times New Roman" w:cs="Times New Roman"/>
          <w:sz w:val="20"/>
          <w:szCs w:val="20"/>
          <w:lang w:val="en-US" w:eastAsia="es-PA"/>
        </w:rPr>
      </w:pPr>
      <w:r w:rsidRPr="00535B99">
        <w:rPr>
          <w:rFonts w:ascii="Times New Roman" w:hAnsi="Times New Roman" w:cs="Times New Roman"/>
          <w:sz w:val="20"/>
          <w:szCs w:val="20"/>
          <w:u w:val="single"/>
          <w:lang w:val="en-US"/>
        </w:rPr>
        <w:t>Languages</w:t>
      </w:r>
      <w:r w:rsidRPr="00535B99">
        <w:rPr>
          <w:rFonts w:ascii="Times New Roman" w:hAnsi="Times New Roman" w:cs="Times New Roman"/>
          <w:sz w:val="20"/>
          <w:szCs w:val="20"/>
          <w:u w:val="single"/>
          <w:lang w:val="en-US"/>
        </w:rPr>
        <w:br/>
      </w:r>
    </w:p>
    <w:p w:rsidR="00186725" w:rsidRPr="00535B99" w:rsidRDefault="00186725" w:rsidP="00324715">
      <w:pPr>
        <w:shd w:val="clear" w:color="auto" w:fill="FFFFFF"/>
        <w:spacing w:after="0" w:line="240" w:lineRule="auto"/>
        <w:textAlignment w:val="baseline"/>
        <w:rPr>
          <w:rFonts w:ascii="Times New Roman" w:eastAsia="Times New Roman" w:hAnsi="Times New Roman" w:cs="Times New Roman"/>
          <w:sz w:val="20"/>
          <w:szCs w:val="20"/>
          <w:lang w:val="en-US" w:eastAsia="es-PA"/>
        </w:rPr>
      </w:pPr>
      <w:r w:rsidRPr="00535B99">
        <w:rPr>
          <w:rFonts w:ascii="Times New Roman" w:eastAsia="Times New Roman" w:hAnsi="Times New Roman" w:cs="Times New Roman"/>
          <w:sz w:val="20"/>
          <w:szCs w:val="20"/>
          <w:lang w:val="en-US" w:eastAsia="es-PA"/>
        </w:rPr>
        <w:t xml:space="preserve">Fluency in </w:t>
      </w:r>
      <w:r w:rsidR="00324715" w:rsidRPr="00535B99">
        <w:rPr>
          <w:rFonts w:ascii="Times New Roman" w:eastAsia="Times New Roman" w:hAnsi="Times New Roman" w:cs="Times New Roman"/>
          <w:sz w:val="20"/>
          <w:szCs w:val="20"/>
          <w:lang w:val="en-US" w:eastAsia="es-PA"/>
        </w:rPr>
        <w:t xml:space="preserve">English </w:t>
      </w:r>
      <w:r w:rsidRPr="00535B99">
        <w:rPr>
          <w:rFonts w:ascii="Times New Roman" w:eastAsia="Times New Roman" w:hAnsi="Times New Roman" w:cs="Times New Roman"/>
          <w:sz w:val="20"/>
          <w:szCs w:val="20"/>
          <w:lang w:val="en-US" w:eastAsia="es-PA"/>
        </w:rPr>
        <w:t xml:space="preserve">and Spanish </w:t>
      </w:r>
      <w:r w:rsidR="0030734F" w:rsidRPr="00535B99">
        <w:rPr>
          <w:rFonts w:ascii="Times New Roman" w:eastAsia="Times New Roman" w:hAnsi="Times New Roman" w:cs="Times New Roman"/>
          <w:sz w:val="20"/>
          <w:szCs w:val="20"/>
          <w:lang w:val="en-US" w:eastAsia="es-PA"/>
        </w:rPr>
        <w:t xml:space="preserve">is </w:t>
      </w:r>
      <w:r w:rsidRPr="00535B99">
        <w:rPr>
          <w:rFonts w:ascii="Times New Roman" w:eastAsia="Times New Roman" w:hAnsi="Times New Roman" w:cs="Times New Roman"/>
          <w:sz w:val="20"/>
          <w:szCs w:val="20"/>
          <w:lang w:val="en-US" w:eastAsia="es-PA"/>
        </w:rPr>
        <w:t xml:space="preserve">required. </w:t>
      </w:r>
      <w:r w:rsidR="0030734F" w:rsidRPr="00535B99">
        <w:rPr>
          <w:rFonts w:ascii="Times New Roman" w:eastAsia="Times New Roman" w:hAnsi="Times New Roman" w:cs="Times New Roman"/>
          <w:sz w:val="20"/>
          <w:szCs w:val="20"/>
          <w:lang w:val="en-US" w:eastAsia="es-PA"/>
        </w:rPr>
        <w:t>Fluency in French would be an asset.</w:t>
      </w:r>
    </w:p>
    <w:p w:rsidR="003A53B6" w:rsidRDefault="003A53B6" w:rsidP="00535B99">
      <w:pPr>
        <w:spacing w:after="0"/>
        <w:rPr>
          <w:lang w:val="en-US"/>
        </w:rPr>
      </w:pP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u w:val="single"/>
          <w:lang w:val="en-US"/>
        </w:rPr>
      </w:pPr>
      <w:r w:rsidRPr="00525DD0">
        <w:rPr>
          <w:rFonts w:ascii="Times New Roman" w:hAnsi="Times New Roman" w:cs="Times New Roman"/>
          <w:sz w:val="20"/>
          <w:szCs w:val="20"/>
          <w:u w:val="single"/>
          <w:lang w:val="en-US"/>
        </w:rPr>
        <w:t>HOW TO APPLY:</w:t>
      </w:r>
    </w:p>
    <w:p w:rsidR="00194971" w:rsidRDefault="00194971" w:rsidP="00525DD0">
      <w:pPr>
        <w:shd w:val="clear" w:color="auto" w:fill="FFFFFF"/>
        <w:spacing w:after="0" w:line="240" w:lineRule="auto"/>
        <w:textAlignment w:val="baseline"/>
        <w:rPr>
          <w:rFonts w:ascii="Times New Roman" w:hAnsi="Times New Roman" w:cs="Times New Roman"/>
          <w:sz w:val="20"/>
          <w:szCs w:val="20"/>
          <w:lang w:val="en-US"/>
        </w:rPr>
      </w:pPr>
    </w:p>
    <w:p w:rsidR="00194971" w:rsidRPr="00E17159" w:rsidRDefault="00E17159" w:rsidP="00525DD0">
      <w:pPr>
        <w:shd w:val="clear" w:color="auto" w:fill="FFFFFF"/>
        <w:spacing w:after="0" w:line="240" w:lineRule="auto"/>
        <w:textAlignment w:val="baseline"/>
        <w:rPr>
          <w:rFonts w:ascii="Times New Roman" w:hAnsi="Times New Roman" w:cs="Times New Roman"/>
          <w:sz w:val="20"/>
          <w:szCs w:val="20"/>
          <w:lang w:val="en-US"/>
        </w:rPr>
      </w:pPr>
      <w:r w:rsidRPr="00E17159">
        <w:rPr>
          <w:rFonts w:ascii="Times New Roman" w:hAnsi="Times New Roman" w:cs="Times New Roman"/>
          <w:sz w:val="20"/>
          <w:szCs w:val="20"/>
          <w:lang w:val="en-US"/>
        </w:rPr>
        <w:t xml:space="preserve">Candidates should complete a United Nations Personal History Form (P11), available at </w:t>
      </w:r>
      <w:hyperlink r:id="rId9" w:history="1">
        <w:r w:rsidRPr="00E17159">
          <w:rPr>
            <w:rStyle w:val="Hyperlink"/>
            <w:rFonts w:ascii="Times New Roman" w:hAnsi="Times New Roman" w:cs="Times New Roman"/>
            <w:color w:val="auto"/>
            <w:sz w:val="20"/>
            <w:szCs w:val="20"/>
            <w:lang w:val="en-US"/>
          </w:rPr>
          <w:t>http://lac.unfpa.org/es/vacancies</w:t>
        </w:r>
      </w:hyperlink>
      <w:r w:rsidRPr="00E17159">
        <w:rPr>
          <w:rFonts w:ascii="Times New Roman" w:hAnsi="Times New Roman" w:cs="Times New Roman"/>
          <w:sz w:val="20"/>
          <w:szCs w:val="20"/>
          <w:lang w:val="en-US"/>
        </w:rPr>
        <w:t xml:space="preserve"> and submit to the e-mail address: </w:t>
      </w:r>
      <w:hyperlink r:id="rId10" w:history="1">
        <w:r w:rsidRPr="00E17159">
          <w:rPr>
            <w:rStyle w:val="Hyperlink"/>
            <w:rFonts w:ascii="Times New Roman" w:hAnsi="Times New Roman" w:cs="Times New Roman"/>
            <w:color w:val="auto"/>
            <w:sz w:val="20"/>
            <w:szCs w:val="20"/>
            <w:lang w:val="en-US"/>
          </w:rPr>
          <w:t>vacancies.lacro@unfpa.org</w:t>
        </w:r>
      </w:hyperlink>
      <w:r w:rsidRPr="00E17159">
        <w:rPr>
          <w:rFonts w:ascii="Times New Roman" w:hAnsi="Times New Roman" w:cs="Times New Roman"/>
          <w:sz w:val="20"/>
          <w:szCs w:val="20"/>
          <w:lang w:val="en-US"/>
        </w:rPr>
        <w:t>. Please quote vacancy post title in the subject. The deadline for the vacancy application is</w:t>
      </w:r>
      <w:r w:rsidRPr="00E17159">
        <w:rPr>
          <w:rFonts w:ascii="Times New Roman" w:hAnsi="Times New Roman" w:cs="Times New Roman"/>
          <w:b/>
          <w:sz w:val="20"/>
          <w:szCs w:val="20"/>
          <w:lang w:val="en-US"/>
        </w:rPr>
        <w:t>: 7 June 2017.</w:t>
      </w:r>
    </w:p>
    <w:p w:rsidR="00E17159" w:rsidRPr="00E17159" w:rsidRDefault="00E17159" w:rsidP="00525DD0">
      <w:pPr>
        <w:shd w:val="clear" w:color="auto" w:fill="FFFFFF"/>
        <w:spacing w:after="0" w:line="240" w:lineRule="auto"/>
        <w:textAlignment w:val="baseline"/>
        <w:rPr>
          <w:rFonts w:ascii="Times New Roman" w:hAnsi="Times New Roman" w:cs="Times New Roman"/>
          <w:sz w:val="20"/>
          <w:szCs w:val="20"/>
          <w:lang w:val="en-US"/>
        </w:rPr>
      </w:pPr>
    </w:p>
    <w:p w:rsidR="00E17159" w:rsidRPr="00E17159" w:rsidRDefault="00E17159" w:rsidP="00525DD0">
      <w:pPr>
        <w:shd w:val="clear" w:color="auto" w:fill="FFFFFF"/>
        <w:spacing w:after="0" w:line="240" w:lineRule="auto"/>
        <w:textAlignment w:val="baseline"/>
        <w:rPr>
          <w:rFonts w:ascii="Times New Roman" w:hAnsi="Times New Roman" w:cs="Times New Roman"/>
          <w:sz w:val="20"/>
          <w:szCs w:val="20"/>
          <w:lang w:val="en-US"/>
        </w:rPr>
      </w:pPr>
      <w:r w:rsidRPr="00E17159">
        <w:rPr>
          <w:rFonts w:ascii="Times New Roman" w:hAnsi="Times New Roman" w:cs="Times New Roman"/>
          <w:sz w:val="20"/>
          <w:szCs w:val="20"/>
          <w:lang w:val="en-US"/>
        </w:rPr>
        <w:t>All posts in the SC categories are subject to local recruitment; therefore this position is open for Panamanian citizens or non-nationals with valid work permit only.</w:t>
      </w:r>
    </w:p>
    <w:p w:rsidR="00194971" w:rsidRDefault="00194971" w:rsidP="00525DD0">
      <w:pPr>
        <w:shd w:val="clear" w:color="auto" w:fill="FFFFFF"/>
        <w:spacing w:after="0" w:line="240" w:lineRule="auto"/>
        <w:textAlignment w:val="baseline"/>
        <w:rPr>
          <w:rFonts w:ascii="Times New Roman" w:hAnsi="Times New Roman" w:cs="Times New Roman"/>
          <w:sz w:val="20"/>
          <w:szCs w:val="20"/>
          <w:lang w:val="en-US"/>
        </w:rPr>
      </w:pP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r w:rsidRPr="00525DD0">
        <w:rPr>
          <w:rFonts w:ascii="Times New Roman" w:hAnsi="Times New Roman" w:cs="Times New Roman"/>
          <w:sz w:val="20"/>
          <w:szCs w:val="20"/>
          <w:lang w:val="en-US"/>
        </w:rPr>
        <w:t xml:space="preserve">Will only be able to respond to those applicants in whom UNFPA has a further interest.  </w:t>
      </w: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r w:rsidRPr="00525DD0">
        <w:rPr>
          <w:rFonts w:ascii="Times New Roman" w:hAnsi="Times New Roman" w:cs="Times New Roman"/>
          <w:sz w:val="20"/>
          <w:szCs w:val="20"/>
          <w:lang w:val="en-US"/>
        </w:rPr>
        <w:t>UNFPA provides a work environment that reflects the values of gender equality, teamwork, respect for diversity, integrity and a healthy balance of work and life. We are committed to maintaining our balanced gender distribution and therefore encourage women to apply.</w:t>
      </w: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r w:rsidRPr="00525DD0">
        <w:rPr>
          <w:rFonts w:ascii="Times New Roman" w:hAnsi="Times New Roman" w:cs="Times New Roman"/>
          <w:sz w:val="20"/>
          <w:szCs w:val="20"/>
          <w:lang w:val="en-US"/>
        </w:rPr>
        <w:t xml:space="preserve">We offer an attractive remuneration package commensurate with the level of the position. The package includes a competitive net salary and Health insurance. Other benefits are responsibility of the incumbent. </w:t>
      </w: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r w:rsidRPr="00525DD0">
        <w:rPr>
          <w:rFonts w:ascii="Times New Roman" w:hAnsi="Times New Roman" w:cs="Times New Roman"/>
          <w:sz w:val="20"/>
          <w:szCs w:val="20"/>
          <w:lang w:val="en-US"/>
        </w:rPr>
        <w:t>Notice: There is no application, processing or other fee at any stage of the application process. UNFPA does not solicit or screen for information in respect of HIV or AIDS and does not discriminate on the basis of HIV/AIDS status.</w:t>
      </w:r>
    </w:p>
    <w:p w:rsidR="00525DD0" w:rsidRPr="00525DD0" w:rsidRDefault="00525DD0" w:rsidP="00525DD0">
      <w:pPr>
        <w:shd w:val="clear" w:color="auto" w:fill="FFFFFF"/>
        <w:spacing w:after="0" w:line="240" w:lineRule="auto"/>
        <w:textAlignment w:val="baseline"/>
        <w:rPr>
          <w:rFonts w:ascii="Times New Roman" w:hAnsi="Times New Roman" w:cs="Times New Roman"/>
          <w:sz w:val="20"/>
          <w:szCs w:val="20"/>
          <w:lang w:val="en-US"/>
        </w:rPr>
      </w:pPr>
    </w:p>
    <w:sectPr w:rsidR="00525DD0" w:rsidRPr="00525DD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0F" w:rsidRDefault="00AF570F" w:rsidP="007E2836">
      <w:pPr>
        <w:spacing w:after="0" w:line="240" w:lineRule="auto"/>
      </w:pPr>
      <w:r>
        <w:separator/>
      </w:r>
    </w:p>
  </w:endnote>
  <w:endnote w:type="continuationSeparator" w:id="0">
    <w:p w:rsidR="00AF570F" w:rsidRDefault="00AF570F" w:rsidP="007E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36086"/>
      <w:docPartObj>
        <w:docPartGallery w:val="Page Numbers (Bottom of Page)"/>
        <w:docPartUnique/>
      </w:docPartObj>
    </w:sdtPr>
    <w:sdtEndPr>
      <w:rPr>
        <w:noProof/>
      </w:rPr>
    </w:sdtEndPr>
    <w:sdtContent>
      <w:p w:rsidR="00A24354" w:rsidRDefault="00A24354">
        <w:pPr>
          <w:pStyle w:val="Footer"/>
          <w:jc w:val="right"/>
        </w:pPr>
        <w:r>
          <w:fldChar w:fldCharType="begin"/>
        </w:r>
        <w:r>
          <w:instrText xml:space="preserve"> PAGE   \* MERGEFORMAT </w:instrText>
        </w:r>
        <w:r>
          <w:fldChar w:fldCharType="separate"/>
        </w:r>
        <w:r w:rsidR="00B873E3">
          <w:rPr>
            <w:noProof/>
          </w:rPr>
          <w:t>1</w:t>
        </w:r>
        <w:r>
          <w:rPr>
            <w:noProof/>
          </w:rPr>
          <w:fldChar w:fldCharType="end"/>
        </w:r>
      </w:p>
    </w:sdtContent>
  </w:sdt>
  <w:p w:rsidR="00A24354" w:rsidRDefault="00A2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0F" w:rsidRDefault="00AF570F" w:rsidP="007E2836">
      <w:pPr>
        <w:spacing w:after="0" w:line="240" w:lineRule="auto"/>
      </w:pPr>
      <w:r>
        <w:separator/>
      </w:r>
    </w:p>
  </w:footnote>
  <w:footnote w:type="continuationSeparator" w:id="0">
    <w:p w:rsidR="00AF570F" w:rsidRDefault="00AF570F" w:rsidP="007E2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54F"/>
    <w:multiLevelType w:val="multilevel"/>
    <w:tmpl w:val="514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D6167"/>
    <w:multiLevelType w:val="hybridMultilevel"/>
    <w:tmpl w:val="5E6E3FFC"/>
    <w:lvl w:ilvl="0" w:tplc="3B62A4A4">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EE1B67"/>
    <w:multiLevelType w:val="multilevel"/>
    <w:tmpl w:val="FAF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813EA"/>
    <w:multiLevelType w:val="multilevel"/>
    <w:tmpl w:val="487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23DA7"/>
    <w:multiLevelType w:val="hybridMultilevel"/>
    <w:tmpl w:val="BDB6A1C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8230CDC"/>
    <w:multiLevelType w:val="hybridMultilevel"/>
    <w:tmpl w:val="63D0B234"/>
    <w:lvl w:ilvl="0" w:tplc="2800E1F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AAB24D0"/>
    <w:multiLevelType w:val="multilevel"/>
    <w:tmpl w:val="1398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10A13"/>
    <w:multiLevelType w:val="hybridMultilevel"/>
    <w:tmpl w:val="320EAF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22E459F"/>
    <w:multiLevelType w:val="hybridMultilevel"/>
    <w:tmpl w:val="5180EC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59D786E"/>
    <w:multiLevelType w:val="multilevel"/>
    <w:tmpl w:val="A9EE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654DA"/>
    <w:multiLevelType w:val="hybridMultilevel"/>
    <w:tmpl w:val="E0D84EF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B421F91"/>
    <w:multiLevelType w:val="hybridMultilevel"/>
    <w:tmpl w:val="4774BD0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F347C92"/>
    <w:multiLevelType w:val="multilevel"/>
    <w:tmpl w:val="650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7156B8"/>
    <w:multiLevelType w:val="hybridMultilevel"/>
    <w:tmpl w:val="D4BCDA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64FC63AC"/>
    <w:multiLevelType w:val="hybridMultilevel"/>
    <w:tmpl w:val="FCA4AABA"/>
    <w:lvl w:ilvl="0" w:tplc="180A0001">
      <w:start w:val="1"/>
      <w:numFmt w:val="bullet"/>
      <w:lvlText w:val=""/>
      <w:lvlJc w:val="left"/>
      <w:pPr>
        <w:ind w:left="768" w:hanging="360"/>
      </w:pPr>
      <w:rPr>
        <w:rFonts w:ascii="Symbol" w:hAnsi="Symbol" w:hint="default"/>
      </w:rPr>
    </w:lvl>
    <w:lvl w:ilvl="1" w:tplc="180A0003" w:tentative="1">
      <w:start w:val="1"/>
      <w:numFmt w:val="bullet"/>
      <w:lvlText w:val="o"/>
      <w:lvlJc w:val="left"/>
      <w:pPr>
        <w:ind w:left="1488" w:hanging="360"/>
      </w:pPr>
      <w:rPr>
        <w:rFonts w:ascii="Courier New" w:hAnsi="Courier New" w:cs="Courier New" w:hint="default"/>
      </w:rPr>
    </w:lvl>
    <w:lvl w:ilvl="2" w:tplc="180A0005" w:tentative="1">
      <w:start w:val="1"/>
      <w:numFmt w:val="bullet"/>
      <w:lvlText w:val=""/>
      <w:lvlJc w:val="left"/>
      <w:pPr>
        <w:ind w:left="2208" w:hanging="360"/>
      </w:pPr>
      <w:rPr>
        <w:rFonts w:ascii="Wingdings" w:hAnsi="Wingdings" w:hint="default"/>
      </w:rPr>
    </w:lvl>
    <w:lvl w:ilvl="3" w:tplc="180A0001" w:tentative="1">
      <w:start w:val="1"/>
      <w:numFmt w:val="bullet"/>
      <w:lvlText w:val=""/>
      <w:lvlJc w:val="left"/>
      <w:pPr>
        <w:ind w:left="2928" w:hanging="360"/>
      </w:pPr>
      <w:rPr>
        <w:rFonts w:ascii="Symbol" w:hAnsi="Symbol" w:hint="default"/>
      </w:rPr>
    </w:lvl>
    <w:lvl w:ilvl="4" w:tplc="180A0003" w:tentative="1">
      <w:start w:val="1"/>
      <w:numFmt w:val="bullet"/>
      <w:lvlText w:val="o"/>
      <w:lvlJc w:val="left"/>
      <w:pPr>
        <w:ind w:left="3648" w:hanging="360"/>
      </w:pPr>
      <w:rPr>
        <w:rFonts w:ascii="Courier New" w:hAnsi="Courier New" w:cs="Courier New" w:hint="default"/>
      </w:rPr>
    </w:lvl>
    <w:lvl w:ilvl="5" w:tplc="180A0005" w:tentative="1">
      <w:start w:val="1"/>
      <w:numFmt w:val="bullet"/>
      <w:lvlText w:val=""/>
      <w:lvlJc w:val="left"/>
      <w:pPr>
        <w:ind w:left="4368" w:hanging="360"/>
      </w:pPr>
      <w:rPr>
        <w:rFonts w:ascii="Wingdings" w:hAnsi="Wingdings" w:hint="default"/>
      </w:rPr>
    </w:lvl>
    <w:lvl w:ilvl="6" w:tplc="180A0001" w:tentative="1">
      <w:start w:val="1"/>
      <w:numFmt w:val="bullet"/>
      <w:lvlText w:val=""/>
      <w:lvlJc w:val="left"/>
      <w:pPr>
        <w:ind w:left="5088" w:hanging="360"/>
      </w:pPr>
      <w:rPr>
        <w:rFonts w:ascii="Symbol" w:hAnsi="Symbol" w:hint="default"/>
      </w:rPr>
    </w:lvl>
    <w:lvl w:ilvl="7" w:tplc="180A0003" w:tentative="1">
      <w:start w:val="1"/>
      <w:numFmt w:val="bullet"/>
      <w:lvlText w:val="o"/>
      <w:lvlJc w:val="left"/>
      <w:pPr>
        <w:ind w:left="5808" w:hanging="360"/>
      </w:pPr>
      <w:rPr>
        <w:rFonts w:ascii="Courier New" w:hAnsi="Courier New" w:cs="Courier New" w:hint="default"/>
      </w:rPr>
    </w:lvl>
    <w:lvl w:ilvl="8" w:tplc="180A0005" w:tentative="1">
      <w:start w:val="1"/>
      <w:numFmt w:val="bullet"/>
      <w:lvlText w:val=""/>
      <w:lvlJc w:val="left"/>
      <w:pPr>
        <w:ind w:left="6528" w:hanging="360"/>
      </w:pPr>
      <w:rPr>
        <w:rFonts w:ascii="Wingdings" w:hAnsi="Wingdings" w:hint="default"/>
      </w:rPr>
    </w:lvl>
  </w:abstractNum>
  <w:abstractNum w:abstractNumId="15" w15:restartNumberingAfterBreak="0">
    <w:nsid w:val="69551D35"/>
    <w:multiLevelType w:val="multilevel"/>
    <w:tmpl w:val="6CF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036663"/>
    <w:multiLevelType w:val="hybridMultilevel"/>
    <w:tmpl w:val="639CDD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5"/>
  </w:num>
  <w:num w:numId="5">
    <w:abstractNumId w:val="6"/>
  </w:num>
  <w:num w:numId="6">
    <w:abstractNumId w:val="1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1"/>
  </w:num>
  <w:num w:numId="13">
    <w:abstractNumId w:val="10"/>
  </w:num>
  <w:num w:numId="14">
    <w:abstractNumId w:val="16"/>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5"/>
    <w:rsid w:val="00025272"/>
    <w:rsid w:val="000E7037"/>
    <w:rsid w:val="0011082F"/>
    <w:rsid w:val="00186725"/>
    <w:rsid w:val="00194971"/>
    <w:rsid w:val="00211187"/>
    <w:rsid w:val="00247032"/>
    <w:rsid w:val="002C0EF7"/>
    <w:rsid w:val="002D1E18"/>
    <w:rsid w:val="002D5569"/>
    <w:rsid w:val="0030734F"/>
    <w:rsid w:val="00324715"/>
    <w:rsid w:val="00357493"/>
    <w:rsid w:val="003A206C"/>
    <w:rsid w:val="003A53B6"/>
    <w:rsid w:val="003E0FE7"/>
    <w:rsid w:val="004519B6"/>
    <w:rsid w:val="00485B4F"/>
    <w:rsid w:val="004D1B43"/>
    <w:rsid w:val="004F2460"/>
    <w:rsid w:val="00525DD0"/>
    <w:rsid w:val="00535B99"/>
    <w:rsid w:val="0057379E"/>
    <w:rsid w:val="005E794C"/>
    <w:rsid w:val="0065230A"/>
    <w:rsid w:val="006B6145"/>
    <w:rsid w:val="0071164D"/>
    <w:rsid w:val="007C786B"/>
    <w:rsid w:val="007E0F41"/>
    <w:rsid w:val="007E2836"/>
    <w:rsid w:val="0080705D"/>
    <w:rsid w:val="009639C0"/>
    <w:rsid w:val="009B7229"/>
    <w:rsid w:val="00A24354"/>
    <w:rsid w:val="00A61E8B"/>
    <w:rsid w:val="00A64579"/>
    <w:rsid w:val="00A77A26"/>
    <w:rsid w:val="00A904AF"/>
    <w:rsid w:val="00AA0E35"/>
    <w:rsid w:val="00AD15BE"/>
    <w:rsid w:val="00AF570F"/>
    <w:rsid w:val="00B00678"/>
    <w:rsid w:val="00B019BD"/>
    <w:rsid w:val="00B34334"/>
    <w:rsid w:val="00B5018A"/>
    <w:rsid w:val="00B873E3"/>
    <w:rsid w:val="00BC0F19"/>
    <w:rsid w:val="00BD2521"/>
    <w:rsid w:val="00BF45E8"/>
    <w:rsid w:val="00BF6042"/>
    <w:rsid w:val="00C707EE"/>
    <w:rsid w:val="00C972D0"/>
    <w:rsid w:val="00D62D87"/>
    <w:rsid w:val="00DA28B9"/>
    <w:rsid w:val="00E17159"/>
    <w:rsid w:val="00E51EF3"/>
    <w:rsid w:val="00EB6148"/>
    <w:rsid w:val="00EB625F"/>
    <w:rsid w:val="00EC3442"/>
    <w:rsid w:val="00F156EE"/>
    <w:rsid w:val="00F55D6C"/>
    <w:rsid w:val="00F9160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D7E43-C639-4738-8BE9-B449B35C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3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E2836"/>
    <w:pPr>
      <w:tabs>
        <w:tab w:val="center" w:pos="4419"/>
        <w:tab w:val="right" w:pos="8838"/>
      </w:tabs>
      <w:spacing w:after="0" w:line="240" w:lineRule="auto"/>
    </w:pPr>
  </w:style>
  <w:style w:type="character" w:customStyle="1" w:styleId="HeaderChar">
    <w:name w:val="Header Char"/>
    <w:basedOn w:val="DefaultParagraphFont"/>
    <w:link w:val="Header"/>
    <w:uiPriority w:val="99"/>
    <w:rsid w:val="007E2836"/>
  </w:style>
  <w:style w:type="paragraph" w:styleId="Footer">
    <w:name w:val="footer"/>
    <w:basedOn w:val="Normal"/>
    <w:link w:val="FooterChar"/>
    <w:uiPriority w:val="99"/>
    <w:unhideWhenUsed/>
    <w:rsid w:val="007E283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E2836"/>
  </w:style>
  <w:style w:type="character" w:styleId="CommentReference">
    <w:name w:val="annotation reference"/>
    <w:basedOn w:val="DefaultParagraphFont"/>
    <w:uiPriority w:val="99"/>
    <w:semiHidden/>
    <w:unhideWhenUsed/>
    <w:rsid w:val="004F2460"/>
    <w:rPr>
      <w:sz w:val="16"/>
      <w:szCs w:val="16"/>
    </w:rPr>
  </w:style>
  <w:style w:type="paragraph" w:styleId="CommentText">
    <w:name w:val="annotation text"/>
    <w:basedOn w:val="Normal"/>
    <w:link w:val="CommentTextChar"/>
    <w:uiPriority w:val="99"/>
    <w:semiHidden/>
    <w:unhideWhenUsed/>
    <w:rsid w:val="004F2460"/>
    <w:pPr>
      <w:spacing w:line="240" w:lineRule="auto"/>
    </w:pPr>
    <w:rPr>
      <w:sz w:val="20"/>
      <w:szCs w:val="20"/>
    </w:rPr>
  </w:style>
  <w:style w:type="character" w:customStyle="1" w:styleId="CommentTextChar">
    <w:name w:val="Comment Text Char"/>
    <w:basedOn w:val="DefaultParagraphFont"/>
    <w:link w:val="CommentText"/>
    <w:uiPriority w:val="99"/>
    <w:semiHidden/>
    <w:rsid w:val="004F2460"/>
    <w:rPr>
      <w:sz w:val="20"/>
      <w:szCs w:val="20"/>
    </w:rPr>
  </w:style>
  <w:style w:type="paragraph" w:styleId="CommentSubject">
    <w:name w:val="annotation subject"/>
    <w:basedOn w:val="CommentText"/>
    <w:next w:val="CommentText"/>
    <w:link w:val="CommentSubjectChar"/>
    <w:uiPriority w:val="99"/>
    <w:semiHidden/>
    <w:unhideWhenUsed/>
    <w:rsid w:val="004F2460"/>
    <w:rPr>
      <w:b/>
      <w:bCs/>
    </w:rPr>
  </w:style>
  <w:style w:type="character" w:customStyle="1" w:styleId="CommentSubjectChar">
    <w:name w:val="Comment Subject Char"/>
    <w:basedOn w:val="CommentTextChar"/>
    <w:link w:val="CommentSubject"/>
    <w:uiPriority w:val="99"/>
    <w:semiHidden/>
    <w:rsid w:val="004F2460"/>
    <w:rPr>
      <w:b/>
      <w:bCs/>
      <w:sz w:val="20"/>
      <w:szCs w:val="20"/>
    </w:rPr>
  </w:style>
  <w:style w:type="paragraph" w:styleId="BalloonText">
    <w:name w:val="Balloon Text"/>
    <w:basedOn w:val="Normal"/>
    <w:link w:val="BalloonTextChar"/>
    <w:uiPriority w:val="99"/>
    <w:semiHidden/>
    <w:unhideWhenUsed/>
    <w:rsid w:val="004F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60"/>
    <w:rPr>
      <w:rFonts w:ascii="Segoe UI" w:hAnsi="Segoe UI" w:cs="Segoe UI"/>
      <w:sz w:val="18"/>
      <w:szCs w:val="18"/>
    </w:rPr>
  </w:style>
  <w:style w:type="character" w:styleId="Hyperlink">
    <w:name w:val="Hyperlink"/>
    <w:basedOn w:val="DefaultParagraphFont"/>
    <w:uiPriority w:val="99"/>
    <w:unhideWhenUsed/>
    <w:rsid w:val="00E17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069">
      <w:bodyDiv w:val="1"/>
      <w:marLeft w:val="0"/>
      <w:marRight w:val="0"/>
      <w:marTop w:val="0"/>
      <w:marBottom w:val="0"/>
      <w:divBdr>
        <w:top w:val="none" w:sz="0" w:space="0" w:color="auto"/>
        <w:left w:val="none" w:sz="0" w:space="0" w:color="auto"/>
        <w:bottom w:val="none" w:sz="0" w:space="0" w:color="auto"/>
        <w:right w:val="none" w:sz="0" w:space="0" w:color="auto"/>
      </w:divBdr>
    </w:div>
    <w:div w:id="267396207">
      <w:bodyDiv w:val="1"/>
      <w:marLeft w:val="0"/>
      <w:marRight w:val="0"/>
      <w:marTop w:val="0"/>
      <w:marBottom w:val="0"/>
      <w:divBdr>
        <w:top w:val="none" w:sz="0" w:space="0" w:color="auto"/>
        <w:left w:val="none" w:sz="0" w:space="0" w:color="auto"/>
        <w:bottom w:val="none" w:sz="0" w:space="0" w:color="auto"/>
        <w:right w:val="none" w:sz="0" w:space="0" w:color="auto"/>
      </w:divBdr>
    </w:div>
    <w:div w:id="1823349468">
      <w:bodyDiv w:val="1"/>
      <w:marLeft w:val="0"/>
      <w:marRight w:val="0"/>
      <w:marTop w:val="0"/>
      <w:marBottom w:val="0"/>
      <w:divBdr>
        <w:top w:val="none" w:sz="0" w:space="0" w:color="auto"/>
        <w:left w:val="none" w:sz="0" w:space="0" w:color="auto"/>
        <w:bottom w:val="none" w:sz="0" w:space="0" w:color="auto"/>
        <w:right w:val="none" w:sz="0" w:space="0" w:color="auto"/>
      </w:divBdr>
      <w:divsChild>
        <w:div w:id="1492209875">
          <w:marLeft w:val="0"/>
          <w:marRight w:val="0"/>
          <w:marTop w:val="0"/>
          <w:marBottom w:val="0"/>
          <w:divBdr>
            <w:top w:val="none" w:sz="0" w:space="0" w:color="auto"/>
            <w:left w:val="none" w:sz="0" w:space="0" w:color="auto"/>
            <w:bottom w:val="none" w:sz="0" w:space="0" w:color="auto"/>
            <w:right w:val="none" w:sz="0" w:space="0" w:color="auto"/>
          </w:divBdr>
          <w:divsChild>
            <w:div w:id="679115433">
              <w:marLeft w:val="0"/>
              <w:marRight w:val="0"/>
              <w:marTop w:val="0"/>
              <w:marBottom w:val="0"/>
              <w:divBdr>
                <w:top w:val="none" w:sz="0" w:space="0" w:color="auto"/>
                <w:left w:val="none" w:sz="0" w:space="0" w:color="auto"/>
                <w:bottom w:val="none" w:sz="0" w:space="0" w:color="auto"/>
                <w:right w:val="none" w:sz="0" w:space="0" w:color="auto"/>
              </w:divBdr>
              <w:divsChild>
                <w:div w:id="10169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4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acro@unfpa.org" TargetMode="External"/><Relationship Id="rId4" Type="http://schemas.openxmlformats.org/officeDocument/2006/relationships/settings" Target="settings.xml"/><Relationship Id="rId9" Type="http://schemas.openxmlformats.org/officeDocument/2006/relationships/hyperlink" Target="http://lac.unfpa.org/e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C4A9-6593-46FD-BECE-03979B3D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1315</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adams</dc:creator>
  <cp:keywords/>
  <dc:description/>
  <cp:lastModifiedBy>Eisbeth Garcia</cp:lastModifiedBy>
  <cp:revision>7</cp:revision>
  <cp:lastPrinted>2017-05-24T16:28:00Z</cp:lastPrinted>
  <dcterms:created xsi:type="dcterms:W3CDTF">2017-05-24T16:04:00Z</dcterms:created>
  <dcterms:modified xsi:type="dcterms:W3CDTF">2017-05-24T16:27:00Z</dcterms:modified>
</cp:coreProperties>
</file>